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8AE72" w14:textId="74710CF7" w:rsidR="00687EF2" w:rsidRPr="0066005F" w:rsidRDefault="00687EF2" w:rsidP="00687EF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21-bis</w:t>
      </w:r>
      <w:r w:rsidRPr="00371350">
        <w:rPr>
          <w:b/>
          <w:i/>
          <w:noProof/>
          <w:sz w:val="24"/>
          <w:szCs w:val="28"/>
        </w:rPr>
        <w:tab/>
      </w:r>
      <w:r w:rsidRPr="0066005F">
        <w:rPr>
          <w:b/>
          <w:sz w:val="28"/>
          <w:szCs w:val="28"/>
        </w:rPr>
        <w:t>R3-</w:t>
      </w:r>
      <w:r w:rsidRPr="0066005F">
        <w:rPr>
          <w:b/>
          <w:noProof/>
          <w:sz w:val="28"/>
          <w:szCs w:val="28"/>
        </w:rPr>
        <w:t>23</w:t>
      </w:r>
      <w:r w:rsidR="0066005F" w:rsidRPr="0066005F">
        <w:rPr>
          <w:b/>
          <w:noProof/>
          <w:sz w:val="28"/>
          <w:szCs w:val="28"/>
        </w:rPr>
        <w:t>5483</w:t>
      </w:r>
    </w:p>
    <w:p w14:paraId="4A093331" w14:textId="77777777" w:rsidR="00687EF2" w:rsidRPr="00601F9B" w:rsidRDefault="00687EF2" w:rsidP="00687EF2">
      <w:pPr>
        <w:rPr>
          <w:b/>
          <w:bCs/>
          <w:noProof/>
          <w:sz w:val="24"/>
          <w:szCs w:val="24"/>
        </w:rPr>
      </w:pPr>
      <w:r w:rsidRPr="0066005F">
        <w:rPr>
          <w:b/>
          <w:bCs/>
          <w:noProof/>
          <w:sz w:val="24"/>
          <w:szCs w:val="24"/>
        </w:rPr>
        <w:t>Xiamen, P.R. China, October 9</w:t>
      </w:r>
      <w:r w:rsidRPr="0066005F">
        <w:rPr>
          <w:b/>
          <w:bCs/>
          <w:noProof/>
          <w:sz w:val="24"/>
          <w:szCs w:val="24"/>
          <w:vertAlign w:val="superscript"/>
        </w:rPr>
        <w:t>th</w:t>
      </w:r>
      <w:r w:rsidRPr="0066005F">
        <w:rPr>
          <w:b/>
          <w:bCs/>
          <w:noProof/>
          <w:sz w:val="24"/>
          <w:szCs w:val="24"/>
        </w:rPr>
        <w:t xml:space="preserve"> – 13</w:t>
      </w:r>
      <w:r w:rsidRPr="0066005F">
        <w:rPr>
          <w:b/>
          <w:bCs/>
          <w:noProof/>
          <w:sz w:val="24"/>
          <w:szCs w:val="24"/>
          <w:vertAlign w:val="superscript"/>
        </w:rPr>
        <w:t>th</w:t>
      </w:r>
      <w:r w:rsidRPr="0066005F">
        <w:rPr>
          <w:b/>
          <w:bCs/>
          <w:noProof/>
          <w:sz w:val="24"/>
          <w:szCs w:val="24"/>
        </w:rPr>
        <w:t xml:space="preserve"> 202</w:t>
      </w:r>
      <w:bookmarkEnd w:id="0"/>
      <w:r w:rsidRPr="0066005F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5A28DB4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Agenda Item:</w:t>
      </w:r>
      <w:r w:rsidRPr="00914545">
        <w:rPr>
          <w:rFonts w:asciiTheme="minorHAnsi" w:hAnsiTheme="minorHAnsi" w:cstheme="minorHAnsi"/>
          <w:szCs w:val="24"/>
        </w:rPr>
        <w:tab/>
      </w:r>
      <w:r w:rsidR="00D94A63" w:rsidRPr="00914545">
        <w:rPr>
          <w:rFonts w:asciiTheme="minorHAnsi" w:hAnsiTheme="minorHAnsi" w:cstheme="minorHAnsi"/>
          <w:szCs w:val="24"/>
        </w:rPr>
        <w:t>1</w:t>
      </w:r>
      <w:r w:rsidR="00496A6D" w:rsidRPr="00914545">
        <w:rPr>
          <w:rFonts w:asciiTheme="minorHAnsi" w:hAnsiTheme="minorHAnsi" w:cstheme="minorHAnsi"/>
          <w:szCs w:val="24"/>
        </w:rPr>
        <w:t>3</w:t>
      </w:r>
      <w:r w:rsidR="00D94A63" w:rsidRPr="00914545">
        <w:rPr>
          <w:rFonts w:asciiTheme="minorHAnsi" w:hAnsiTheme="minorHAnsi" w:cstheme="minorHAnsi"/>
          <w:szCs w:val="24"/>
        </w:rPr>
        <w:t>.4</w:t>
      </w:r>
      <w:r w:rsidR="00FB355F">
        <w:rPr>
          <w:rFonts w:asciiTheme="minorHAnsi" w:hAnsiTheme="minorHAnsi" w:cstheme="minorHAnsi"/>
          <w:szCs w:val="24"/>
        </w:rPr>
        <w:t>.</w:t>
      </w:r>
    </w:p>
    <w:p w14:paraId="5D26F93D" w14:textId="67119965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Source:</w:t>
      </w:r>
      <w:r w:rsidRPr="00914545">
        <w:rPr>
          <w:rFonts w:asciiTheme="minorHAnsi" w:hAnsiTheme="minorHAnsi" w:cstheme="minorHAnsi"/>
          <w:szCs w:val="24"/>
        </w:rPr>
        <w:tab/>
        <w:t>Ericsson</w:t>
      </w:r>
    </w:p>
    <w:p w14:paraId="3B347207" w14:textId="74A7F51E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914545">
        <w:rPr>
          <w:rFonts w:asciiTheme="minorHAnsi" w:hAnsiTheme="minorHAnsi" w:cstheme="minorHAnsi"/>
          <w:szCs w:val="24"/>
        </w:rPr>
        <w:t>Title:</w:t>
      </w:r>
      <w:r w:rsidRPr="00914545">
        <w:rPr>
          <w:rFonts w:asciiTheme="minorHAnsi" w:hAnsiTheme="minorHAnsi" w:cstheme="minorHAnsi"/>
          <w:szCs w:val="24"/>
        </w:rPr>
        <w:tab/>
      </w:r>
      <w:r w:rsidR="007C7912" w:rsidRPr="00914545">
        <w:rPr>
          <w:rFonts w:asciiTheme="minorHAnsi" w:hAnsiTheme="minorHAnsi" w:cstheme="minorHAnsi"/>
          <w:szCs w:val="24"/>
        </w:rPr>
        <w:t xml:space="preserve">PCI Collision </w:t>
      </w:r>
      <w:r w:rsidR="00A055EF" w:rsidRPr="00914545">
        <w:rPr>
          <w:rFonts w:asciiTheme="minorHAnsi" w:hAnsiTheme="minorHAnsi" w:cstheme="minorHAnsi"/>
          <w:szCs w:val="24"/>
        </w:rPr>
        <w:t>Mitigation</w:t>
      </w:r>
      <w:r w:rsidR="00D94A63" w:rsidRPr="00914545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Document for:</w:t>
      </w:r>
      <w:r w:rsidRPr="00914545">
        <w:rPr>
          <w:rFonts w:asciiTheme="minorHAnsi" w:hAnsiTheme="minorHAnsi" w:cstheme="minorHAnsi"/>
          <w:szCs w:val="24"/>
        </w:rPr>
        <w:tab/>
        <w:t>Agreement</w:t>
      </w:r>
    </w:p>
    <w:p w14:paraId="3E56774C" w14:textId="30562435" w:rsidR="0079791B" w:rsidRPr="00914545" w:rsidRDefault="0079791B" w:rsidP="00545FC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914545">
        <w:rPr>
          <w:rFonts w:asciiTheme="minorHAnsi" w:hAnsiTheme="minorHAnsi" w:cstheme="minorHAnsi"/>
          <w:sz w:val="40"/>
        </w:rPr>
        <w:t>Introduction</w:t>
      </w:r>
    </w:p>
    <w:p w14:paraId="49DFB6F7" w14:textId="5218A001" w:rsidR="00DF17DF" w:rsidRPr="00914545" w:rsidRDefault="00EE3E53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Bidi"/>
          <w:sz w:val="22"/>
          <w:szCs w:val="22"/>
        </w:rPr>
        <w:t xml:space="preserve">In </w:t>
      </w:r>
      <w:r w:rsidRPr="00914545">
        <w:rPr>
          <w:rFonts w:asciiTheme="minorHAnsi" w:hAnsiTheme="minorHAnsi" w:cstheme="minorHAnsi"/>
          <w:sz w:val="22"/>
          <w:szCs w:val="22"/>
        </w:rPr>
        <w:t>this paper</w:t>
      </w:r>
      <w:r w:rsidR="00FA59E7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914545">
        <w:rPr>
          <w:rFonts w:asciiTheme="minorHAnsi" w:hAnsiTheme="minorHAnsi" w:cstheme="minorHAnsi"/>
          <w:sz w:val="22"/>
          <w:szCs w:val="22"/>
        </w:rPr>
        <w:t xml:space="preserve"> discuss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914545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for mIAB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>-nodes</w:t>
      </w:r>
      <w:r w:rsidR="00084644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based on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following agreements </w:t>
      </w:r>
      <w:r w:rsidR="00A0037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TBCs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from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62822" w:rsidRPr="00914545">
        <w:rPr>
          <w:rFonts w:asciiTheme="minorHAnsi" w:hAnsiTheme="minorHAnsi" w:cstheme="minorHAnsi"/>
          <w:sz w:val="22"/>
          <w:szCs w:val="22"/>
          <w:lang w:eastAsia="en-US"/>
        </w:rPr>
        <w:t>previous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meeting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12D0A033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27C02AE" w:rsidR="00086A51" w:rsidRPr="00914545" w:rsidRDefault="00086A5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  <w:r w:rsidR="008E5EC9" w:rsidRPr="00914545">
        <w:rPr>
          <w:rFonts w:asciiTheme="minorHAnsi" w:hAnsiTheme="minorHAnsi" w:cstheme="minorHAnsi"/>
          <w:b/>
          <w:color w:val="0000FF"/>
        </w:rPr>
        <w:t xml:space="preserve"> </w:t>
      </w:r>
    </w:p>
    <w:p w14:paraId="657946B9" w14:textId="77777777" w:rsidR="00993861" w:rsidRPr="00914545" w:rsidRDefault="00116A8A" w:rsidP="00545FCF">
      <w:pPr>
        <w:widowControl w:val="0"/>
        <w:spacing w:before="120" w:after="0"/>
        <w:ind w:left="567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914545" w:rsidRDefault="0099386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914545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1B7FAF60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 Xn between IAB-DU’s donor and IAB-MT’s donor.  </w:t>
      </w:r>
    </w:p>
    <w:p w14:paraId="0C77BDCF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 xml:space="preserve">How to avoid PCI collision in the scenario without Xn between IAB-DU’s donor and IAB-MT’s donor if the scenario is supported. </w:t>
      </w:r>
    </w:p>
    <w:p w14:paraId="68B9700F" w14:textId="77777777" w:rsidR="008E5EC9" w:rsidRPr="00914545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00FF"/>
        </w:rPr>
      </w:pPr>
      <w:r w:rsidRPr="00914545">
        <w:rPr>
          <w:rFonts w:asciiTheme="minorHAnsi" w:hAnsiTheme="minorHAnsi" w:cstheme="minorHAnsi"/>
          <w:b/>
          <w:color w:val="0000FF"/>
        </w:rPr>
        <w:t>Whether PCI collision between mobile IAB cells can be predicted based on existing UE measurement report.</w:t>
      </w:r>
    </w:p>
    <w:p w14:paraId="259DB6F3" w14:textId="77777777" w:rsidR="00116A8A" w:rsidRPr="00914545" w:rsidRDefault="00116A8A" w:rsidP="00545FCF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306AF4A0" w:rsidR="002779D4" w:rsidRPr="00914545" w:rsidRDefault="005A52F7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Discus</w:t>
      </w:r>
      <w:r w:rsidR="00896D67" w:rsidRPr="00914545">
        <w:rPr>
          <w:rFonts w:asciiTheme="minorHAnsi" w:hAnsiTheme="minorHAnsi" w:cstheme="minorHAnsi"/>
          <w:sz w:val="40"/>
          <w:szCs w:val="40"/>
        </w:rPr>
        <w:t>s</w:t>
      </w:r>
      <w:r w:rsidRPr="00914545">
        <w:rPr>
          <w:rFonts w:asciiTheme="minorHAnsi" w:hAnsiTheme="minorHAnsi" w:cstheme="minorHAnsi"/>
          <w:sz w:val="40"/>
          <w:szCs w:val="40"/>
        </w:rPr>
        <w:t>ion</w:t>
      </w:r>
    </w:p>
    <w:p w14:paraId="34095E8F" w14:textId="256DBFD7" w:rsidR="006D1DE0" w:rsidRPr="00914545" w:rsidRDefault="00E3742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We discuss the following issues:</w:t>
      </w:r>
    </w:p>
    <w:p w14:paraId="30EE9C58" w14:textId="52B0E607" w:rsidR="006F19B3" w:rsidRPr="00914545" w:rsidRDefault="006F19B3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The definition of PCI collision.</w:t>
      </w:r>
    </w:p>
    <w:p w14:paraId="7E654FC7" w14:textId="6AE416B9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PCI </w:t>
      </w:r>
      <w:r w:rsidR="00E62EE4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prediction.</w:t>
      </w:r>
    </w:p>
    <w:p w14:paraId="70B16B7C" w14:textId="7A5C56D3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co</w:t>
      </w:r>
      <w:r w:rsidR="00E62EE4">
        <w:rPr>
          <w:rFonts w:asciiTheme="minorHAnsi" w:hAnsiTheme="minorHAnsi" w:cstheme="minorHAnsi"/>
          <w:sz w:val="22"/>
          <w:szCs w:val="22"/>
        </w:rPr>
        <w:t>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detection.</w:t>
      </w:r>
    </w:p>
    <w:p w14:paraId="51104D2B" w14:textId="42A4ACF1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reconfiguration.</w:t>
      </w:r>
    </w:p>
    <w:p w14:paraId="428B6F6B" w14:textId="20DAC4D4" w:rsidR="001910E2" w:rsidRPr="00914545" w:rsidRDefault="001910E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FA32308" w14:textId="3877A9D5" w:rsidR="001910E2" w:rsidRPr="00914545" w:rsidRDefault="001910E2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The definition of PCI co</w:t>
      </w:r>
      <w:r w:rsidR="0081719A" w:rsidRPr="00914545">
        <w:rPr>
          <w:rFonts w:asciiTheme="minorHAnsi" w:hAnsiTheme="minorHAnsi" w:cstheme="minorHAnsi"/>
          <w:sz w:val="36"/>
          <w:szCs w:val="36"/>
        </w:rPr>
        <w:t>llision</w:t>
      </w:r>
    </w:p>
    <w:p w14:paraId="1E898C33" w14:textId="7E37534F" w:rsidR="00535DA5" w:rsidRPr="00914545" w:rsidRDefault="00535DA5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believe that there is a misconception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RAN3, related to the definition of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collision of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-dependent reference signals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Some companies seem to assume that 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collision of PCI-dependent reference signals (</w:t>
      </w:r>
      <w:r w:rsidR="00917AB0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also referred to as the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 co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llision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)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in the context of mIAB happens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when an mIAB-node</w:t>
      </w:r>
      <w:r w:rsidR="00C922C6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enters a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 area where the PCI </w:t>
      </w:r>
      <w:r w:rsidR="002D09FE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is identical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with the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configured at the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</w:t>
      </w:r>
      <w:r w:rsidR="00475C4F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DU. However, 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interference due to a collision of PCI-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 xml:space="preserve">dependent reference signals </w:t>
      </w:r>
      <w:r w:rsidR="00C87BF0" w:rsidRPr="00914545">
        <w:rPr>
          <w:rFonts w:asciiTheme="minorHAnsi" w:hAnsiTheme="minorHAnsi" w:cstheme="minorHAnsi"/>
          <w:sz w:val="22"/>
          <w:szCs w:val="22"/>
        </w:rPr>
        <w:t xml:space="preserve">occurs when two RAN nodes </w:t>
      </w:r>
      <w:r w:rsidR="00DB339D" w:rsidRPr="00914545">
        <w:rPr>
          <w:rFonts w:asciiTheme="minorHAnsi" w:hAnsiTheme="minorHAnsi" w:cstheme="minorHAnsi"/>
          <w:sz w:val="22"/>
          <w:szCs w:val="22"/>
        </w:rPr>
        <w:t>transmit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identical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PSS and SSS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reference sequences </w:t>
      </w:r>
      <w:r w:rsidR="00DB339D" w:rsidRPr="00914545">
        <w:rPr>
          <w:rFonts w:asciiTheme="minorHAnsi" w:hAnsiTheme="minorHAnsi" w:cstheme="minorHAnsi"/>
          <w:sz w:val="22"/>
          <w:szCs w:val="22"/>
        </w:rPr>
        <w:t>(i.e.</w:t>
      </w:r>
      <w:r w:rsidR="00AA115A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identical PCIs</w:t>
      </w:r>
      <w:r w:rsidR="00DB339D" w:rsidRPr="00914545">
        <w:rPr>
          <w:rFonts w:asciiTheme="minorHAnsi" w:hAnsiTheme="minorHAnsi" w:cstheme="minorHAnsi"/>
          <w:sz w:val="22"/>
          <w:szCs w:val="22"/>
        </w:rPr>
        <w:t xml:space="preserve">) on </w:t>
      </w:r>
      <w:r w:rsidR="00EB69B0" w:rsidRPr="00914545">
        <w:rPr>
          <w:rFonts w:asciiTheme="minorHAnsi" w:hAnsiTheme="minorHAnsi" w:cstheme="minorHAnsi"/>
          <w:sz w:val="22"/>
          <w:szCs w:val="22"/>
        </w:rPr>
        <w:t>identical physical layer resources</w:t>
      </w:r>
      <w:r w:rsidRPr="00914545">
        <w:rPr>
          <w:rFonts w:asciiTheme="minorHAnsi" w:hAnsiTheme="minorHAnsi" w:cstheme="minorHAnsi"/>
          <w:sz w:val="22"/>
          <w:szCs w:val="22"/>
        </w:rPr>
        <w:t>.</w:t>
      </w:r>
      <w:r w:rsidR="008E2417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It can therefore be argued that interference scenarios due to PCI </w:t>
      </w:r>
      <w:r w:rsidR="00540CE2">
        <w:rPr>
          <w:rFonts w:asciiTheme="minorHAnsi" w:hAnsiTheme="minorHAnsi" w:cstheme="minorHAnsi"/>
          <w:bCs/>
          <w:sz w:val="22"/>
          <w:szCs w:val="22"/>
          <w:lang w:eastAsia="en-US"/>
        </w:rPr>
        <w:t>collisions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are rather improbable events.</w:t>
      </w:r>
      <w:r w:rsidR="002861F1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247D908B" w14:textId="6B514B14" w:rsidR="006442C5" w:rsidRPr="00914545" w:rsidRDefault="006442C5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8E241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A11C8" w:rsidRPr="00914545">
        <w:rPr>
          <w:rFonts w:asciiTheme="minorHAnsi" w:hAnsiTheme="minorHAnsi" w:cstheme="minorHAnsi"/>
          <w:b/>
          <w:sz w:val="22"/>
          <w:szCs w:val="22"/>
        </w:rPr>
        <w:t>Interference due to a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89564E">
        <w:rPr>
          <w:rFonts w:asciiTheme="minorHAnsi" w:hAnsiTheme="minorHAnsi" w:cstheme="minorHAnsi"/>
          <w:b/>
          <w:sz w:val="22"/>
          <w:szCs w:val="22"/>
        </w:rPr>
        <w:t>occur</w:t>
      </w:r>
      <w:r w:rsidR="00136B74"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time 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>or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frequency resources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 xml:space="preserve"> for their synchronization blocks</w:t>
      </w:r>
      <w:r w:rsidRPr="0089564E">
        <w:rPr>
          <w:rFonts w:asciiTheme="minorHAnsi" w:hAnsiTheme="minorHAnsi" w:cstheme="minorHAnsi"/>
          <w:b/>
          <w:sz w:val="22"/>
          <w:szCs w:val="22"/>
        </w:rPr>
        <w:t>.</w:t>
      </w:r>
    </w:p>
    <w:p w14:paraId="3593FCDB" w14:textId="324F9CE4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Avoiding PCI </w:t>
      </w:r>
      <w:r w:rsidR="00540CE2">
        <w:rPr>
          <w:rFonts w:asciiTheme="minorHAnsi" w:hAnsiTheme="minorHAnsi" w:cstheme="minorHAnsi"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sz w:val="22"/>
          <w:szCs w:val="22"/>
        </w:rPr>
        <w:t xml:space="preserve"> can</w:t>
      </w:r>
      <w:r w:rsidR="00BB08E7" w:rsidRPr="00914545">
        <w:rPr>
          <w:rFonts w:asciiTheme="minorHAnsi" w:hAnsiTheme="minorHAnsi" w:cstheme="minorHAnsi"/>
          <w:sz w:val="22"/>
          <w:szCs w:val="22"/>
        </w:rPr>
        <w:t xml:space="preserve"> thus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 ensured by using different SSB frequency configurations and/or different SSB transmission occasions</w:t>
      </w:r>
      <w:r w:rsidR="00C41DA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095825F1" w14:textId="2745B08A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: PCI </w:t>
      </w:r>
      <w:r w:rsidR="00540CE2"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43D30">
        <w:rPr>
          <w:rFonts w:asciiTheme="minorHAnsi" w:hAnsiTheme="minorHAnsi" w:cstheme="minorHAnsi"/>
          <w:b/>
          <w:bCs/>
          <w:sz w:val="22"/>
          <w:szCs w:val="22"/>
        </w:rPr>
        <w:t xml:space="preserve"> in different cells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F29C99" w14:textId="77777777" w:rsidR="00896D67" w:rsidRPr="00914545" w:rsidRDefault="00896D67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6EFDAC" w14:textId="113801F9" w:rsidR="00CC45B0" w:rsidRPr="00914545" w:rsidRDefault="00CC45B0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Pr="00914545">
        <w:rPr>
          <w:rFonts w:asciiTheme="minorHAnsi" w:hAnsiTheme="minorHAnsi" w:cstheme="minorHAnsi"/>
          <w:sz w:val="36"/>
          <w:szCs w:val="36"/>
        </w:rPr>
        <w:t xml:space="preserve"> prediction</w:t>
      </w:r>
    </w:p>
    <w:p w14:paraId="50066C07" w14:textId="22B28D51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Consider </w:t>
      </w:r>
      <w:r w:rsidR="00BD1FAA" w:rsidRPr="00914545">
        <w:rPr>
          <w:rFonts w:asciiTheme="minorHAnsi" w:hAnsiTheme="minorHAnsi" w:cstheme="minorHAnsi"/>
          <w:sz w:val="22"/>
          <w:szCs w:val="22"/>
        </w:rPr>
        <w:t>a</w:t>
      </w:r>
      <w:r w:rsidRPr="00914545">
        <w:rPr>
          <w:rFonts w:asciiTheme="minorHAnsi" w:hAnsiTheme="minorHAnsi" w:cstheme="minorHAnsi"/>
          <w:sz w:val="22"/>
          <w:szCs w:val="22"/>
        </w:rPr>
        <w:t xml:space="preserve"> network where a city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divided 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into network areas, </w:t>
      </w:r>
      <w:r w:rsidRPr="00914545">
        <w:rPr>
          <w:rFonts w:asciiTheme="minorHAnsi" w:hAnsiTheme="minorHAnsi" w:cstheme="minorHAnsi"/>
          <w:sz w:val="22"/>
          <w:szCs w:val="22"/>
        </w:rPr>
        <w:t xml:space="preserve">and </w:t>
      </w:r>
      <w:r w:rsidR="00390979" w:rsidRPr="00914545">
        <w:rPr>
          <w:rFonts w:asciiTheme="minorHAnsi" w:hAnsiTheme="minorHAnsi" w:cstheme="minorHAnsi"/>
          <w:sz w:val="22"/>
          <w:szCs w:val="22"/>
        </w:rPr>
        <w:t>each area is</w:t>
      </w:r>
      <w:r w:rsidR="00BD1FA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 xml:space="preserve">under the control of </w:t>
      </w:r>
      <w:r w:rsidR="00D3033E" w:rsidRPr="00914545">
        <w:rPr>
          <w:rFonts w:asciiTheme="minorHAnsi" w:hAnsiTheme="minorHAnsi" w:cstheme="minorHAnsi"/>
          <w:sz w:val="22"/>
          <w:szCs w:val="22"/>
        </w:rPr>
        <w:t xml:space="preserve">a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different CU. In this case, collision can be predicted by checking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between the CU areas that the mIAB-node may traverse. In fact, the RAN3#117-bis-e agreement, stating that the F1-terminating donor can detect PCI collisions, is applicable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 as well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 because the donors 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can 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exchange </w:t>
      </w:r>
      <w:r w:rsidR="00121518" w:rsidRPr="00914545">
        <w:rPr>
          <w:rFonts w:asciiTheme="minorHAnsi" w:hAnsiTheme="minorHAnsi" w:cstheme="minorHAnsi"/>
          <w:sz w:val="22"/>
          <w:szCs w:val="22"/>
        </w:rPr>
        <w:t>served cell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(and even neighbour cell information)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that includes the PCI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for each cell</w:t>
      </w:r>
      <w:r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121518" w:rsidRPr="00914545">
        <w:rPr>
          <w:rFonts w:asciiTheme="minorHAnsi" w:hAnsiTheme="minorHAnsi" w:cstheme="minorHAnsi"/>
          <w:sz w:val="22"/>
          <w:szCs w:val="22"/>
        </w:rPr>
        <w:t>Hence, we conclude</w:t>
      </w:r>
      <w:r w:rsidRPr="00914545">
        <w:rPr>
          <w:rFonts w:asciiTheme="minorHAnsi" w:hAnsiTheme="minorHAnsi" w:cstheme="minorHAnsi"/>
          <w:sz w:val="22"/>
          <w:szCs w:val="22"/>
        </w:rPr>
        <w:t xml:space="preserve"> that PCI collision can be predicted by exchanging information about PCI ranges between different donors. </w:t>
      </w:r>
    </w:p>
    <w:p w14:paraId="24B9EACB" w14:textId="564015E3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EB13F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IAB-donors.</w:t>
      </w:r>
    </w:p>
    <w:p w14:paraId="19D54C8D" w14:textId="2CBE647B" w:rsidR="00EA39D9" w:rsidRPr="00914545" w:rsidRDefault="006E691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>Even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if all prerequisites for PCI collision are satisfied (identical PCIs, </w:t>
      </w:r>
      <w:r w:rsidR="00535EF2" w:rsidRPr="00914545">
        <w:rPr>
          <w:rFonts w:asciiTheme="minorHAnsi" w:hAnsiTheme="minorHAnsi" w:cstheme="minorHAnsi"/>
          <w:bCs/>
          <w:sz w:val="22"/>
          <w:szCs w:val="22"/>
        </w:rPr>
        <w:t>i.e., identical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PSS and SSS reference sequences), the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>between a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n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mIAB-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node and a stationary node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occurs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gradually as the mIAB-n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ode moves into the coverage of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the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stationary node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14545">
        <w:rPr>
          <w:rFonts w:asciiTheme="minorHAnsi" w:hAnsiTheme="minorHAnsi" w:cstheme="minorHAnsi"/>
          <w:bCs/>
          <w:sz w:val="22"/>
          <w:szCs w:val="22"/>
        </w:rPr>
        <w:t>In addition,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due to the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movement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of the mIAB-node, this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is only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temporary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7142F1" w14:textId="5AE8036D" w:rsidR="00CC45B0" w:rsidRPr="00914545" w:rsidRDefault="00EA39D9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6571FF" w:rsidRPr="00914545">
        <w:rPr>
          <w:rFonts w:asciiTheme="minorHAnsi" w:hAnsiTheme="minorHAnsi" w:cstheme="minorHAnsi"/>
          <w:b/>
          <w:sz w:val="22"/>
          <w:szCs w:val="22"/>
        </w:rPr>
        <w:t>3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 xml:space="preserve">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>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 xml:space="preserve"> the same 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PSS and SSS reference sequences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>,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as the ones </w:t>
      </w:r>
      <w:r w:rsidR="00B32A30" w:rsidRPr="00914545">
        <w:rPr>
          <w:rFonts w:asciiTheme="minorHAnsi" w:hAnsiTheme="minorHAnsi" w:cstheme="minorHAnsi"/>
          <w:b/>
          <w:sz w:val="22"/>
          <w:szCs w:val="22"/>
        </w:rPr>
        <w:t>configured at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>the mIAB-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DU.</w:t>
      </w:r>
    </w:p>
    <w:p w14:paraId="26BF7411" w14:textId="3B5424D8" w:rsidR="008D4B3A" w:rsidRPr="00914545" w:rsidRDefault="003A229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B</w:t>
      </w:r>
      <w:r w:rsidR="00FA61F6" w:rsidRPr="00914545">
        <w:rPr>
          <w:rFonts w:asciiTheme="minorHAnsi" w:hAnsiTheme="minorHAnsi" w:cstheme="minorHAnsi"/>
          <w:sz w:val="22"/>
          <w:szCs w:val="22"/>
        </w:rPr>
        <w:t>ased on the above, we conclude that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no</w:t>
      </w:r>
      <w:r w:rsidR="00D438BD" w:rsidRPr="00914545">
        <w:rPr>
          <w:rFonts w:asciiTheme="minorHAnsi" w:hAnsiTheme="minorHAnsi" w:cstheme="minorHAnsi"/>
          <w:sz w:val="22"/>
          <w:szCs w:val="22"/>
        </w:rPr>
        <w:t xml:space="preserve"> further enhancements for PCI collision prediction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are needed</w:t>
      </w:r>
      <w:r w:rsidR="00D438BD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3537C91" w14:textId="2616427E" w:rsidR="00770F6E" w:rsidRPr="00914545" w:rsidRDefault="00770F6E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E6914" w:rsidRPr="00914545">
        <w:rPr>
          <w:rFonts w:asciiTheme="minorHAnsi" w:hAnsiTheme="minorHAnsi" w:cstheme="minorHAnsi"/>
          <w:b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</w:t>
      </w:r>
      <w:r w:rsidR="00FA61F6" w:rsidRPr="00914545">
        <w:rPr>
          <w:rFonts w:asciiTheme="minorHAnsi" w:hAnsiTheme="minorHAnsi" w:cstheme="minorHAnsi"/>
          <w:b/>
          <w:sz w:val="22"/>
          <w:szCs w:val="22"/>
        </w:rPr>
        <w:t>s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are needed.</w:t>
      </w:r>
    </w:p>
    <w:p w14:paraId="38F4C4EC" w14:textId="77777777" w:rsidR="00160B32" w:rsidRPr="00914545" w:rsidRDefault="00160B3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7D9AE62" w14:textId="0C5D59A9" w:rsidR="00976B21" w:rsidRPr="00914545" w:rsidRDefault="00111146" w:rsidP="00545FCF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="00CA60B3" w:rsidRPr="00914545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1B50A841" w14:textId="13F69392" w:rsidR="00106F09" w:rsidRPr="00914545" w:rsidRDefault="0025098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At the 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="00BA4ECB" w:rsidRPr="00914545">
        <w:rPr>
          <w:rFonts w:asciiTheme="minorHAnsi" w:hAnsiTheme="minorHAnsi" w:cstheme="minorHAnsi"/>
          <w:sz w:val="22"/>
          <w:szCs w:val="22"/>
        </w:rPr>
        <w:t xml:space="preserve">meeting </w:t>
      </w:r>
      <w:r w:rsidRPr="00914545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="00106F09" w:rsidRPr="0091454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914545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914545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000AB4A3" w:rsidR="00D50AB5" w:rsidRPr="002F5065" w:rsidRDefault="00EA256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914545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59F8">
        <w:rPr>
          <w:rFonts w:asciiTheme="minorHAnsi" w:hAnsiTheme="minorHAnsi" w:cstheme="minorHAnsi"/>
          <w:sz w:val="22"/>
          <w:szCs w:val="22"/>
          <w:lang w:eastAsia="en-US"/>
        </w:rPr>
        <w:t>we don’t think that this is always possible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The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SSBs of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nearby </w:t>
      </w:r>
      <w:r w:rsidR="0001743A" w:rsidRPr="00914545">
        <w:rPr>
          <w:rFonts w:asciiTheme="minorHAnsi" w:hAnsiTheme="minorHAnsi" w:cstheme="minorHAnsi"/>
          <w:sz w:val="22"/>
          <w:szCs w:val="22"/>
          <w:lang w:eastAsia="en-US"/>
        </w:rPr>
        <w:t>RAN nodes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and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SSBs of the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co-located mIAB-DU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across nodes</w:t>
      </w:r>
      <w:r w:rsidR="004662B5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which is generally not possible for moving nodes.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seems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t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>o be less capable tha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donor CUs when it </w:t>
      </w:r>
      <w:r w:rsidR="00025776" w:rsidRPr="002F5065">
        <w:rPr>
          <w:rFonts w:asciiTheme="minorHAnsi" w:hAnsiTheme="minorHAnsi" w:cstheme="minorHAnsi"/>
          <w:sz w:val="22"/>
          <w:szCs w:val="22"/>
          <w:lang w:eastAsia="en-US"/>
        </w:rPr>
        <w:t>comes to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4592204C" w:rsidR="00D50AB5" w:rsidRPr="002F5065" w:rsidRDefault="00C54E24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571FF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F903D7" w14:textId="77777777" w:rsidR="00EE1E24" w:rsidRPr="002F5065" w:rsidRDefault="00B702AB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RAN3#119-bis-e meeting notes suggest to further discuss</w:t>
      </w:r>
      <w:r w:rsidR="00EE1E24" w:rsidRPr="002F5065">
        <w:rPr>
          <w:rFonts w:asciiTheme="minorHAnsi" w:hAnsiTheme="minorHAnsi" w:cstheme="minorHAnsi"/>
          <w:sz w:val="22"/>
          <w:szCs w:val="22"/>
        </w:rPr>
        <w:t>:</w:t>
      </w:r>
    </w:p>
    <w:p w14:paraId="5195B493" w14:textId="4E2FC2AF" w:rsidR="00EE1E24" w:rsidRPr="002F5065" w:rsidRDefault="00B702AB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lastRenderedPageBreak/>
        <w:t>Whether PCI collision between mobile IAB cells can be predicted based on existing UE measurement report.</w:t>
      </w:r>
    </w:p>
    <w:p w14:paraId="3D8AC9CE" w14:textId="5B409D8C" w:rsidR="00EE1E24" w:rsidRPr="002F5065" w:rsidRDefault="00EE1E24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How to avoid PCI collision in the scenario with Xn between IAB-DU’s donor and IAB-MT’s donor.  </w:t>
      </w:r>
    </w:p>
    <w:p w14:paraId="4D75AA66" w14:textId="2A78BEB0" w:rsidR="00730581" w:rsidRPr="002F5065" w:rsidRDefault="008410D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We notice that the </w:t>
      </w:r>
      <w:r w:rsidR="00F4293D" w:rsidRPr="002F5065">
        <w:rPr>
          <w:rFonts w:asciiTheme="minorHAnsi" w:hAnsiTheme="minorHAnsi" w:cstheme="minorHAnsi"/>
          <w:sz w:val="22"/>
          <w:szCs w:val="22"/>
        </w:rPr>
        <w:t>first</w:t>
      </w:r>
      <w:r w:rsidRPr="002F5065">
        <w:rPr>
          <w:rFonts w:asciiTheme="minorHAnsi" w:hAnsiTheme="minorHAnsi" w:cstheme="minorHAnsi"/>
          <w:sz w:val="22"/>
          <w:szCs w:val="22"/>
        </w:rPr>
        <w:t xml:space="preserve"> FFS refers to </w:t>
      </w:r>
      <w:r w:rsidR="00D54991" w:rsidRPr="002F5065">
        <w:rPr>
          <w:rFonts w:asciiTheme="minorHAnsi" w:hAnsiTheme="minorHAnsi" w:cstheme="minorHAnsi"/>
          <w:sz w:val="22"/>
          <w:szCs w:val="22"/>
        </w:rPr>
        <w:t>a part of the</w:t>
      </w:r>
      <w:r w:rsidRPr="002F5065">
        <w:rPr>
          <w:rFonts w:asciiTheme="minorHAnsi" w:hAnsiTheme="minorHAnsi" w:cstheme="minorHAnsi"/>
          <w:sz w:val="22"/>
          <w:szCs w:val="22"/>
        </w:rPr>
        <w:t xml:space="preserve"> A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utomatic </w:t>
      </w:r>
      <w:r w:rsidRPr="002F5065">
        <w:rPr>
          <w:rFonts w:asciiTheme="minorHAnsi" w:hAnsiTheme="minorHAnsi" w:cstheme="minorHAnsi"/>
          <w:sz w:val="22"/>
          <w:szCs w:val="22"/>
        </w:rPr>
        <w:t>N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eighbour </w:t>
      </w:r>
      <w:r w:rsidRPr="002F5065">
        <w:rPr>
          <w:rFonts w:asciiTheme="minorHAnsi" w:hAnsiTheme="minorHAnsi" w:cstheme="minorHAnsi"/>
          <w:sz w:val="22"/>
          <w:szCs w:val="22"/>
        </w:rPr>
        <w:t>R</w:t>
      </w:r>
      <w:r w:rsidR="00B94521" w:rsidRPr="002F5065">
        <w:rPr>
          <w:rFonts w:asciiTheme="minorHAnsi" w:hAnsiTheme="minorHAnsi" w:cstheme="minorHAnsi"/>
          <w:sz w:val="22"/>
          <w:szCs w:val="22"/>
        </w:rPr>
        <w:t>elations</w:t>
      </w:r>
      <w:r w:rsidRPr="002F5065">
        <w:rPr>
          <w:rFonts w:asciiTheme="minorHAnsi" w:hAnsiTheme="minorHAnsi" w:cstheme="minorHAnsi"/>
          <w:sz w:val="22"/>
          <w:szCs w:val="22"/>
        </w:rPr>
        <w:t xml:space="preserve"> framework</w:t>
      </w:r>
      <w:r w:rsidR="006876FE" w:rsidRPr="002F5065">
        <w:rPr>
          <w:rFonts w:asciiTheme="minorHAnsi" w:hAnsiTheme="minorHAnsi" w:cstheme="minorHAnsi"/>
          <w:sz w:val="22"/>
          <w:szCs w:val="22"/>
        </w:rPr>
        <w:t>, i.e., the part related to PCI collision detection with the help of UE measurements</w:t>
      </w:r>
      <w:r w:rsidR="005A3253" w:rsidRPr="002F5065">
        <w:rPr>
          <w:rFonts w:asciiTheme="minorHAnsi" w:hAnsiTheme="minorHAnsi" w:cstheme="minorHAnsi"/>
          <w:sz w:val="22"/>
          <w:szCs w:val="22"/>
        </w:rPr>
        <w:t>, which works as follows:</w:t>
      </w:r>
    </w:p>
    <w:p w14:paraId="259A6AE9" w14:textId="14B22469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The network first configures the UE to measure certain PCIs – this should of course be the same PCI as the </w:t>
      </w:r>
      <w:r w:rsidR="00E411AC" w:rsidRPr="002F5065">
        <w:rPr>
          <w:rFonts w:asciiTheme="minorHAnsi" w:hAnsiTheme="minorHAnsi" w:cstheme="minorHAnsi"/>
          <w:sz w:val="22"/>
          <w:szCs w:val="22"/>
        </w:rPr>
        <w:t>mIAB-DU’s</w:t>
      </w:r>
      <w:r w:rsidRPr="002F5065">
        <w:rPr>
          <w:rFonts w:asciiTheme="minorHAnsi" w:hAnsiTheme="minorHAnsi" w:cstheme="minorHAnsi"/>
          <w:sz w:val="22"/>
          <w:szCs w:val="22"/>
        </w:rPr>
        <w:t xml:space="preserve">, </w:t>
      </w:r>
      <w:r w:rsidR="001174E0" w:rsidRPr="002F5065">
        <w:rPr>
          <w:rFonts w:asciiTheme="minorHAnsi" w:hAnsiTheme="minorHAnsi" w:cstheme="minorHAnsi"/>
          <w:sz w:val="22"/>
          <w:szCs w:val="22"/>
        </w:rPr>
        <w:t>to detect the collision</w:t>
      </w:r>
      <w:r w:rsidRPr="002F5065">
        <w:rPr>
          <w:rFonts w:asciiTheme="minorHAnsi" w:hAnsiTheme="minorHAnsi" w:cstheme="minorHAnsi"/>
          <w:sz w:val="22"/>
          <w:szCs w:val="22"/>
        </w:rPr>
        <w:t xml:space="preserve">. Then the UE uses the </w:t>
      </w:r>
      <w:r w:rsidRPr="002F5065">
        <w:rPr>
          <w:rFonts w:asciiTheme="minorHAnsi" w:hAnsiTheme="minorHAnsi" w:cstheme="minorHAnsi"/>
          <w:i/>
          <w:iCs/>
          <w:sz w:val="22"/>
          <w:szCs w:val="22"/>
        </w:rPr>
        <w:t>UEinformationResponse</w:t>
      </w:r>
      <w:r w:rsidRPr="002F5065">
        <w:rPr>
          <w:rFonts w:asciiTheme="minorHAnsi" w:hAnsiTheme="minorHAnsi" w:cstheme="minorHAnsi"/>
          <w:sz w:val="22"/>
          <w:szCs w:val="22"/>
        </w:rPr>
        <w:t xml:space="preserve"> </w:t>
      </w:r>
      <w:r w:rsidR="000E42A2" w:rsidRPr="002F5065">
        <w:rPr>
          <w:rFonts w:asciiTheme="minorHAnsi" w:hAnsiTheme="minorHAnsi" w:cstheme="minorHAnsi"/>
          <w:sz w:val="22"/>
          <w:szCs w:val="22"/>
        </w:rPr>
        <w:t xml:space="preserve">RRC </w:t>
      </w:r>
      <w:r w:rsidRPr="002F5065">
        <w:rPr>
          <w:rFonts w:asciiTheme="minorHAnsi" w:hAnsiTheme="minorHAnsi" w:cstheme="minorHAnsi"/>
          <w:sz w:val="22"/>
          <w:szCs w:val="22"/>
        </w:rPr>
        <w:t>message to report to the CU the PCIs that it sees. Not</w:t>
      </w:r>
      <w:r w:rsidR="002E5DAE" w:rsidRPr="002F5065">
        <w:rPr>
          <w:rFonts w:asciiTheme="minorHAnsi" w:hAnsiTheme="minorHAnsi" w:cstheme="minorHAnsi"/>
          <w:sz w:val="22"/>
          <w:szCs w:val="22"/>
        </w:rPr>
        <w:t>e</w:t>
      </w:r>
      <w:r w:rsidRPr="002F5065">
        <w:rPr>
          <w:rFonts w:asciiTheme="minorHAnsi" w:hAnsiTheme="minorHAnsi" w:cstheme="minorHAnsi"/>
          <w:sz w:val="22"/>
          <w:szCs w:val="22"/>
        </w:rPr>
        <w:t xml:space="preserve"> that, at this stage, the UE is not yet required to execute radio measurements. </w:t>
      </w:r>
    </w:p>
    <w:p w14:paraId="2CFD0CA5" w14:textId="77777777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In the second step, after the colliding PCI is detected, the network will ask the UE to obtain SIB information and the signal strength of the cell. </w:t>
      </w:r>
    </w:p>
    <w:p w14:paraId="356E289E" w14:textId="77777777" w:rsidR="00586FF8" w:rsidRDefault="00586FF8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09A2C8E4" w14:textId="7AB03F22" w:rsidR="00F2206F" w:rsidRPr="002F5065" w:rsidRDefault="00F2206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sz w:val="22"/>
          <w:szCs w:val="22"/>
          <w:lang w:eastAsia="en-US"/>
        </w:rPr>
        <w:t>As argued above, the interference caused by the reference signal collision occurs gradually, meaning that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at the time of PCI collision detection</w:t>
      </w:r>
      <w:r w:rsidR="00473787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by means of UE measurements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the interference is likely to be small</w:t>
      </w:r>
      <w:r w:rsidR="00AA213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when detected. Detecting weak interference due to PCI collision is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de facto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equivalent 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PCI collision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sz w:val="22"/>
          <w:szCs w:val="22"/>
          <w:u w:val="single"/>
          <w:lang w:eastAsia="en-US"/>
        </w:rPr>
        <w:t>prediction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The more UEs are con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>figure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d with such measurements, the earlier the PCI collision prediction</w:t>
      </w:r>
      <w:r w:rsidR="002F5065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34B4D1F" w14:textId="05E535EF" w:rsidR="00C507DD" w:rsidRPr="002F5065" w:rsidRDefault="002F5065" w:rsidP="00545FCF">
      <w:pPr>
        <w:pStyle w:val="Comment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Based on the above, we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conclude that the existing specifications provide</w:t>
      </w:r>
      <w:r w:rsidR="00057CF3" w:rsidRPr="002F5065">
        <w:rPr>
          <w:rFonts w:asciiTheme="minorHAnsi" w:hAnsiTheme="minorHAnsi" w:cstheme="minorHAnsi"/>
          <w:sz w:val="22"/>
          <w:szCs w:val="22"/>
        </w:rPr>
        <w:t xml:space="preserve"> sufficient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support for PCI </w:t>
      </w:r>
      <w:r w:rsidR="002E324D" w:rsidRPr="002F5065">
        <w:rPr>
          <w:rFonts w:asciiTheme="minorHAnsi" w:hAnsiTheme="minorHAnsi" w:cstheme="minorHAnsi"/>
          <w:sz w:val="22"/>
          <w:szCs w:val="22"/>
        </w:rPr>
        <w:t>collision detection for mIAB-nodes</w:t>
      </w:r>
      <w:r w:rsidR="00C507DD" w:rsidRPr="002F5065">
        <w:rPr>
          <w:rFonts w:asciiTheme="minorHAnsi" w:hAnsiTheme="minorHAnsi" w:cstheme="minorHAnsi"/>
          <w:sz w:val="22"/>
          <w:szCs w:val="22"/>
        </w:rPr>
        <w:t>.</w:t>
      </w:r>
    </w:p>
    <w:p w14:paraId="3ADA86F0" w14:textId="1E94A343" w:rsidR="00C507DD" w:rsidRPr="002F5065" w:rsidRDefault="00C507DD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 w:rsidRPr="002F5065">
        <w:rPr>
          <w:rFonts w:asciiTheme="minorHAnsi" w:hAnsiTheme="minorHAnsi" w:cstheme="minorHAnsi"/>
          <w:b/>
          <w:sz w:val="22"/>
          <w:szCs w:val="22"/>
        </w:rPr>
        <w:t>4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 xml:space="preserve">No further enhancements are needed 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for PCI collision </w:t>
      </w:r>
      <w:r w:rsidR="00E62EE4"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="00E62EE4" w:rsidRPr="002F5065">
        <w:rPr>
          <w:rFonts w:asciiTheme="minorHAnsi" w:hAnsiTheme="minorHAnsi" w:cstheme="minorHAnsi"/>
          <w:b/>
          <w:sz w:val="22"/>
          <w:szCs w:val="22"/>
        </w:rPr>
        <w:t xml:space="preserve"> for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>mIAB-nodes</w:t>
      </w:r>
      <w:r w:rsidRPr="002F5065">
        <w:rPr>
          <w:rFonts w:asciiTheme="minorHAnsi" w:hAnsiTheme="minorHAnsi" w:cstheme="minorHAnsi"/>
          <w:b/>
          <w:sz w:val="22"/>
          <w:szCs w:val="22"/>
        </w:rPr>
        <w:t>.</w:t>
      </w:r>
    </w:p>
    <w:p w14:paraId="507D5920" w14:textId="73D10B05" w:rsidR="00CA60B3" w:rsidRPr="00914545" w:rsidRDefault="00CA60B3" w:rsidP="00545FCF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273952A2" w14:textId="22F57538" w:rsidR="001B42F9" w:rsidRPr="00914545" w:rsidRDefault="00CA60B3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PCI reconfiguration</w:t>
      </w:r>
    </w:p>
    <w:p w14:paraId="0DC303A1" w14:textId="69386D34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Allowing PCI reconfigurations without donor CU involvement </w:t>
      </w:r>
      <w:r w:rsidR="003D67B1" w:rsidRPr="00914545">
        <w:rPr>
          <w:rFonts w:asciiTheme="minorHAnsi" w:hAnsiTheme="minorHAnsi" w:cstheme="minorHAnsi"/>
          <w:sz w:val="22"/>
          <w:szCs w:val="22"/>
          <w:lang w:eastAsia="en-US"/>
        </w:rPr>
        <w:t>may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lead to many PCI changes across the network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nodes which will then change their PCIs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 xml:space="preserve">the collision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so on. This makes PCI planning for mIAB-nodes extremely complex for the operator. </w:t>
      </w:r>
    </w:p>
    <w:p w14:paraId="0198B964" w14:textId="2B057227" w:rsidR="0020359F" w:rsidRPr="00914545" w:rsidRDefault="0020359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mIAB-node detects a brief PCI collision and then reconfigures its PCI to a new PCI in a range pre-configured by the IAB-donor (or the OAM). This might cause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mIAB-nodes, causing massive PCI updates. This is not a good solution, and it cannot coexist with the already standardized gNB-/CU-centric PCI optimizations, defined in </w:t>
      </w:r>
      <w:r w:rsidRPr="00914545">
        <w:rPr>
          <w:rFonts w:asciiTheme="minorHAnsi" w:hAnsiTheme="minorHAnsi" w:cstheme="minorHAnsi"/>
          <w:sz w:val="22"/>
          <w:szCs w:val="22"/>
        </w:rPr>
        <w:t>clause 7.8 of TS 38.401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746F496F" w14:textId="51FC7EFC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Allowing the mIAB-node to reconfigure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its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PCI without donor involvement may cause massive PCI reconfigurations across the network, and it is incompatible with existing standardized solutions, which are 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gNB-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/CU-centric. </w:t>
      </w:r>
    </w:p>
    <w:p w14:paraId="6C610FFF" w14:textId="2B59775E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1" w:name="_Hlk11796633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The decision to perform PCI reconfiguration </w:t>
      </w:r>
      <w:bookmarkEnd w:id="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 and not by the mIAB-node.</w:t>
      </w:r>
    </w:p>
    <w:p w14:paraId="47FCCD3B" w14:textId="57838BAC" w:rsidR="00170557" w:rsidRPr="00914545" w:rsidRDefault="0049587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RAN3 has already agreed that</w:t>
      </w:r>
      <w:r w:rsidR="00F31726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to change a PCI broadcasted by a</w:t>
      </w:r>
      <w:r w:rsidR="007B1F0C" w:rsidRPr="00914545">
        <w:rPr>
          <w:rFonts w:asciiTheme="minorHAnsi" w:hAnsiTheme="minorHAnsi" w:cstheme="minorHAnsi"/>
          <w:sz w:val="22"/>
          <w:szCs w:val="22"/>
        </w:rPr>
        <w:t>n</w:t>
      </w:r>
      <w:r w:rsidRPr="00914545">
        <w:rPr>
          <w:rFonts w:asciiTheme="minorHAnsi" w:hAnsiTheme="minorHAnsi" w:cstheme="minorHAnsi"/>
          <w:sz w:val="22"/>
          <w:szCs w:val="22"/>
        </w:rPr>
        <w:t xml:space="preserve"> IAB-DU cell, the UE can be handed over to a new cell</w:t>
      </w:r>
      <w:r w:rsidR="00861E4C" w:rsidRPr="00914545">
        <w:rPr>
          <w:rFonts w:asciiTheme="minorHAnsi" w:hAnsiTheme="minorHAnsi" w:cstheme="minorHAnsi"/>
          <w:sz w:val="22"/>
          <w:szCs w:val="22"/>
        </w:rPr>
        <w:t xml:space="preserve"> with a new PCI</w:t>
      </w:r>
      <w:r w:rsidRPr="00914545">
        <w:rPr>
          <w:rFonts w:asciiTheme="minorHAnsi" w:hAnsiTheme="minorHAnsi" w:cstheme="minorHAnsi"/>
          <w:sz w:val="22"/>
          <w:szCs w:val="22"/>
        </w:rPr>
        <w:t>. Th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e corresponding </w:t>
      </w:r>
      <w:r w:rsidRPr="00914545">
        <w:rPr>
          <w:rFonts w:asciiTheme="minorHAnsi" w:hAnsiTheme="minorHAnsi" w:cstheme="minorHAnsi"/>
          <w:sz w:val="22"/>
          <w:szCs w:val="22"/>
        </w:rPr>
        <w:t>RAN3#117-bis-e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 agreement states</w:t>
      </w:r>
      <w:r w:rsidRPr="00914545">
        <w:rPr>
          <w:rFonts w:asciiTheme="minorHAnsi" w:hAnsiTheme="minorHAnsi" w:cstheme="minorHAnsi"/>
          <w:sz w:val="22"/>
          <w:szCs w:val="22"/>
        </w:rPr>
        <w:t xml:space="preserve">: </w:t>
      </w:r>
      <w:r w:rsidRPr="00914545">
        <w:rPr>
          <w:rFonts w:asciiTheme="minorHAnsi" w:hAnsiTheme="minorHAnsi" w:cstheme="minorHAnsi"/>
          <w:b/>
          <w:bCs/>
          <w:color w:val="008000"/>
          <w:sz w:val="22"/>
          <w:szCs w:val="22"/>
        </w:rPr>
        <w:t>PCI-change on the IAB-node can be supported via handover of connected UEs between cells using old and new PCI, respectively.</w:t>
      </w:r>
      <w:r w:rsidR="00F31726" w:rsidRPr="00914545">
        <w:rPr>
          <w:rFonts w:asciiTheme="minorHAnsi" w:hAnsiTheme="minorHAnsi" w:cstheme="minorHAnsi"/>
          <w:sz w:val="22"/>
          <w:szCs w:val="22"/>
        </w:rPr>
        <w:t>”</w:t>
      </w:r>
      <w:r w:rsidR="00F0443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EDD2778" w14:textId="2F7BE03B" w:rsidR="001B42F9" w:rsidRPr="00914545" w:rsidRDefault="001B42F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BE564E" w:rsidRPr="00914545">
        <w:rPr>
          <w:rFonts w:asciiTheme="minorHAnsi" w:hAnsiTheme="minorHAnsi" w:cstheme="minorHAnsi"/>
          <w:sz w:val="22"/>
          <w:szCs w:val="22"/>
        </w:rPr>
        <w:t>captured in the</w:t>
      </w:r>
      <w:r w:rsidRPr="00914545">
        <w:rPr>
          <w:rFonts w:asciiTheme="minorHAnsi" w:hAnsiTheme="minorHAnsi" w:cstheme="minorHAnsi"/>
          <w:sz w:val="22"/>
          <w:szCs w:val="22"/>
        </w:rPr>
        <w:t xml:space="preserve"> RAN3#117-bis-e </w:t>
      </w:r>
      <w:r w:rsidR="00BE564E" w:rsidRPr="00914545">
        <w:rPr>
          <w:rFonts w:asciiTheme="minorHAnsi" w:hAnsiTheme="minorHAnsi" w:cstheme="minorHAnsi"/>
          <w:sz w:val="22"/>
          <w:szCs w:val="22"/>
        </w:rPr>
        <w:t>meeting notes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OAMs.</w:t>
      </w:r>
      <w:r w:rsidR="00626D22" w:rsidRPr="00914545">
        <w:rPr>
          <w:rFonts w:asciiTheme="minorHAnsi" w:hAnsiTheme="minorHAnsi" w:cstheme="minorHAnsi"/>
          <w:b/>
          <w:color w:val="0000FF"/>
          <w:sz w:val="22"/>
          <w:szCs w:val="22"/>
        </w:rPr>
        <w:t>”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This is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914545">
        <w:rPr>
          <w:rFonts w:asciiTheme="minorHAnsi" w:hAnsiTheme="minorHAnsi" w:cstheme="minorHAnsi"/>
          <w:sz w:val="22"/>
          <w:szCs w:val="22"/>
        </w:rPr>
        <w:t>scope</w:t>
      </w:r>
      <w:r w:rsidR="00330A7A"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9E343C" w:rsidRPr="00914545">
        <w:rPr>
          <w:rFonts w:asciiTheme="minorHAnsi" w:hAnsiTheme="minorHAnsi" w:cstheme="minorHAnsi"/>
          <w:sz w:val="22"/>
          <w:szCs w:val="22"/>
        </w:rPr>
        <w:t>At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present</w:t>
      </w:r>
      <w:r w:rsidR="00330A7A" w:rsidRPr="00914545">
        <w:rPr>
          <w:rFonts w:asciiTheme="minorHAnsi" w:hAnsiTheme="minorHAnsi" w:cstheme="minorHAnsi"/>
          <w:sz w:val="22"/>
          <w:szCs w:val="22"/>
        </w:rPr>
        <w:t>,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this</w:t>
      </w:r>
      <w:r w:rsidR="009E343C" w:rsidRPr="00914545">
        <w:rPr>
          <w:rFonts w:asciiTheme="minorHAnsi" w:hAnsiTheme="minorHAnsi" w:cstheme="minorHAnsi"/>
          <w:sz w:val="22"/>
          <w:szCs w:val="22"/>
        </w:rPr>
        <w:t xml:space="preserve"> scenario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is not different from the case where the IAB-donor and IAB-node are under the same </w:t>
      </w:r>
      <w:r w:rsidR="00296D23" w:rsidRPr="00914545">
        <w:rPr>
          <w:rFonts w:asciiTheme="minorHAnsi" w:hAnsiTheme="minorHAnsi" w:cstheme="minorHAnsi"/>
          <w:sz w:val="22"/>
          <w:szCs w:val="22"/>
        </w:rPr>
        <w:t>OAM. Namely, the current specifications allow for the CU to update the PCI on the DU, regardless of whether they connect to the same OAM. In fact</w:t>
      </w:r>
      <w:r w:rsidR="00556059" w:rsidRPr="00914545">
        <w:rPr>
          <w:rFonts w:asciiTheme="minorHAnsi" w:hAnsiTheme="minorHAnsi" w:cstheme="minorHAnsi"/>
          <w:sz w:val="22"/>
          <w:szCs w:val="22"/>
        </w:rPr>
        <w:t>,</w:t>
      </w:r>
      <w:r w:rsidR="00075681" w:rsidRPr="00914545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914545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5B6CE5" w:rsidRPr="00914545">
        <w:rPr>
          <w:rFonts w:asciiTheme="minorHAnsi" w:hAnsiTheme="minorHAnsi" w:cstheme="minorHAnsi"/>
          <w:sz w:val="22"/>
          <w:szCs w:val="22"/>
        </w:rPr>
        <w:t>.</w:t>
      </w:r>
      <w:r w:rsidR="000E08C1" w:rsidRPr="009145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51446C74" w:rsidR="00042C2B" w:rsidRPr="00914545" w:rsidRDefault="00042C2B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Hlk117966363"/>
      <w:r w:rsidRPr="0091454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914545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>.</w:t>
      </w:r>
    </w:p>
    <w:p w14:paraId="253AC147" w14:textId="77777777" w:rsidR="00A80423" w:rsidRPr="00914545" w:rsidRDefault="00A80423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EA91025" w14:textId="3AA240A6" w:rsidR="00A80423" w:rsidRPr="00914545" w:rsidRDefault="00A80423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Way forward</w:t>
      </w:r>
    </w:p>
    <w:p w14:paraId="73D2E5B2" w14:textId="7A18124B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>Based on the discussion above, we propose to freeze the AI 13.4</w:t>
      </w:r>
      <w:r w:rsidR="00413E0C">
        <w:rPr>
          <w:rFonts w:asciiTheme="minorHAnsi" w:hAnsiTheme="minorHAnsi" w:cstheme="minorHAnsi"/>
          <w:bCs/>
          <w:sz w:val="22"/>
          <w:szCs w:val="22"/>
        </w:rPr>
        <w:t>.</w:t>
      </w:r>
      <w:r w:rsidRPr="00914545">
        <w:rPr>
          <w:rFonts w:asciiTheme="minorHAnsi" w:hAnsiTheme="minorHAnsi" w:cstheme="minorHAnsi"/>
          <w:bCs/>
          <w:sz w:val="22"/>
          <w:szCs w:val="22"/>
        </w:rPr>
        <w:t xml:space="preserve"> until the 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mIAB-node partial migration procedure in the absence of XnAP between mIAB-DU’s and mIAB-MT’s donor has been specified.</w:t>
      </w:r>
    </w:p>
    <w:p w14:paraId="321A62F9" w14:textId="0AB9199B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 w:rsidR="0031320A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</w:t>
      </w:r>
      <w:r w:rsidR="001B178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</w:t>
      </w:r>
      <w:r w:rsidR="00413E0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and re-</w:t>
      </w:r>
      <w:r w:rsidR="007B5CE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open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it only after the mIAB-node partial migration procedure in the absence of XnAP between mIAB-DU’s and mIAB-MT’s donor has been specified.</w:t>
      </w:r>
    </w:p>
    <w:p w14:paraId="70F8721F" w14:textId="77777777" w:rsidR="00296D23" w:rsidRPr="00914545" w:rsidRDefault="00296D23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bookmarkEnd w:id="2"/>
    <w:p w14:paraId="197E2BEA" w14:textId="77777777" w:rsidR="005B2262" w:rsidRPr="00914545" w:rsidRDefault="005B2262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30E702F6" w:rsidR="00040628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sz w:val="22"/>
        </w:rPr>
        <w:t xml:space="preserve">This paper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PCI collision </w:t>
      </w:r>
      <w:r w:rsidR="00A055E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mitigation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for mIAB-nodes. </w:t>
      </w:r>
      <w:r w:rsidRPr="00914545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6C3D1745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1: Interference due to a PCI </w:t>
      </w:r>
      <w:r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does not occur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time or frequency resources for their synchronization blocks.</w:t>
      </w:r>
    </w:p>
    <w:p w14:paraId="7EB2B530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2: PCI </w:t>
      </w:r>
      <w:r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SSBs.</w:t>
      </w:r>
    </w:p>
    <w:p w14:paraId="28DDEDD9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>Proposal 1: PCI collision can be predicted by sharing the information about configured PCIs between IAB-donors.</w:t>
      </w:r>
    </w:p>
    <w:p w14:paraId="64FA579A" w14:textId="3C38A6BD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3: 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the same PSS and SSS reference sequences, as the ones configured at the mIAB-DU.</w:t>
      </w:r>
    </w:p>
    <w:p w14:paraId="72FF8A81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2: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scenarios are needed.</w:t>
      </w:r>
    </w:p>
    <w:p w14:paraId="507175B7" w14:textId="77777777" w:rsidR="00AF4EF6" w:rsidRPr="002F506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4: PCI collision detection by the mIAB-MT node is not always possible.</w:t>
      </w:r>
    </w:p>
    <w:p w14:paraId="2BBDDB41" w14:textId="77777777" w:rsidR="00AF4EF6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2D910410" w14:textId="77777777" w:rsidR="00AF4EF6" w:rsidRPr="002F5065" w:rsidRDefault="00AF4EF6" w:rsidP="00545FCF">
      <w:pPr>
        <w:pStyle w:val="Comment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4: No further enhancements are needed for PCI collision </w:t>
      </w:r>
      <w:r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 for mIAB-nodes.</w:t>
      </w:r>
    </w:p>
    <w:p w14:paraId="2F559D2D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mIAB-node to reconfigure its PCI without donor involvement may cause massive PCI reconfigurations across the network, and it is incompatible with existing standardized solutions, which are gNB-/CU-centric. </w:t>
      </w:r>
    </w:p>
    <w:p w14:paraId="027B8624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The decision to perform PCI reconfiguration can only be taken by the network and not by the mIAB-node.</w:t>
      </w:r>
    </w:p>
    <w:p w14:paraId="57D5CECB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>: PCI reconfiguration for the scenario where the IAB-donor and the mIAB-node connect to different OAMs is out of RAN3 scope.</w:t>
      </w:r>
    </w:p>
    <w:p w14:paraId="406B3909" w14:textId="0882AFED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7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“Grey out” the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AI 13.4</w:t>
      </w:r>
      <w:r w:rsidR="00413E0C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  <w:r w:rsidRPr="0091454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and re-activate it only after the mIAB-node partial migration procedure in the absence of XnAP between mIAB-DU’s and mIAB-MT’s donor has been specified.</w:t>
      </w:r>
    </w:p>
    <w:p w14:paraId="6C77DF57" w14:textId="77777777" w:rsidR="00AF4EF6" w:rsidRDefault="00AF4EF6" w:rsidP="00545FCF">
      <w:pPr>
        <w:spacing w:before="120" w:after="0"/>
      </w:pPr>
    </w:p>
    <w:p w14:paraId="3CF9854A" w14:textId="77777777" w:rsidR="005B2262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RPr="00914545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4222" w14:textId="77777777" w:rsidR="00F1109B" w:rsidRDefault="00F1109B">
      <w:pPr>
        <w:spacing w:after="0"/>
      </w:pPr>
      <w:r>
        <w:separator/>
      </w:r>
    </w:p>
  </w:endnote>
  <w:endnote w:type="continuationSeparator" w:id="0">
    <w:p w14:paraId="2D52AEC5" w14:textId="77777777" w:rsidR="00F1109B" w:rsidRDefault="00F1109B">
      <w:pPr>
        <w:spacing w:after="0"/>
      </w:pPr>
      <w:r>
        <w:continuationSeparator/>
      </w:r>
    </w:p>
  </w:endnote>
  <w:endnote w:type="continuationNotice" w:id="1">
    <w:p w14:paraId="3255527C" w14:textId="77777777" w:rsidR="00F1109B" w:rsidRDefault="00F11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A87E" w14:textId="77777777" w:rsidR="00F1109B" w:rsidRDefault="00F1109B">
      <w:pPr>
        <w:spacing w:after="0"/>
      </w:pPr>
      <w:r>
        <w:separator/>
      </w:r>
    </w:p>
  </w:footnote>
  <w:footnote w:type="continuationSeparator" w:id="0">
    <w:p w14:paraId="688FFEF7" w14:textId="77777777" w:rsidR="00F1109B" w:rsidRDefault="00F1109B">
      <w:pPr>
        <w:spacing w:after="0"/>
      </w:pPr>
      <w:r>
        <w:continuationSeparator/>
      </w:r>
    </w:p>
  </w:footnote>
  <w:footnote w:type="continuationNotice" w:id="1">
    <w:p w14:paraId="5073BDBD" w14:textId="77777777" w:rsidR="00F1109B" w:rsidRDefault="00F110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4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6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1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4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9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0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1"/>
  </w:num>
  <w:num w:numId="3" w16cid:durableId="20671021">
    <w:abstractNumId w:val="17"/>
  </w:num>
  <w:num w:numId="4" w16cid:durableId="618417911">
    <w:abstractNumId w:val="27"/>
  </w:num>
  <w:num w:numId="5" w16cid:durableId="1547792383">
    <w:abstractNumId w:val="21"/>
  </w:num>
  <w:num w:numId="6" w16cid:durableId="546721183">
    <w:abstractNumId w:val="2"/>
  </w:num>
  <w:num w:numId="7" w16cid:durableId="1790198703">
    <w:abstractNumId w:val="19"/>
  </w:num>
  <w:num w:numId="8" w16cid:durableId="578834388">
    <w:abstractNumId w:val="18"/>
  </w:num>
  <w:num w:numId="9" w16cid:durableId="197085953">
    <w:abstractNumId w:val="20"/>
  </w:num>
  <w:num w:numId="10" w16cid:durableId="1186361210">
    <w:abstractNumId w:val="31"/>
  </w:num>
  <w:num w:numId="11" w16cid:durableId="467480604">
    <w:abstractNumId w:val="4"/>
  </w:num>
  <w:num w:numId="12" w16cid:durableId="1349529251">
    <w:abstractNumId w:val="9"/>
  </w:num>
  <w:num w:numId="13" w16cid:durableId="1520124543">
    <w:abstractNumId w:val="29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2"/>
  </w:num>
  <w:num w:numId="17" w16cid:durableId="1696466403">
    <w:abstractNumId w:val="16"/>
  </w:num>
  <w:num w:numId="18" w16cid:durableId="423116209">
    <w:abstractNumId w:val="5"/>
  </w:num>
  <w:num w:numId="19" w16cid:durableId="1298339417">
    <w:abstractNumId w:val="30"/>
  </w:num>
  <w:num w:numId="20" w16cid:durableId="645743396">
    <w:abstractNumId w:val="13"/>
  </w:num>
  <w:num w:numId="21" w16cid:durableId="1941569933">
    <w:abstractNumId w:val="10"/>
  </w:num>
  <w:num w:numId="22" w16cid:durableId="503209420">
    <w:abstractNumId w:val="22"/>
  </w:num>
  <w:num w:numId="23" w16cid:durableId="735670785">
    <w:abstractNumId w:val="23"/>
  </w:num>
  <w:num w:numId="24" w16cid:durableId="707796093">
    <w:abstractNumId w:val="3"/>
  </w:num>
  <w:num w:numId="25" w16cid:durableId="484930277">
    <w:abstractNumId w:val="14"/>
  </w:num>
  <w:num w:numId="26" w16cid:durableId="1456365511">
    <w:abstractNumId w:val="7"/>
  </w:num>
  <w:num w:numId="27" w16cid:durableId="742797132">
    <w:abstractNumId w:val="15"/>
  </w:num>
  <w:num w:numId="28" w16cid:durableId="1395422967">
    <w:abstractNumId w:val="28"/>
  </w:num>
  <w:num w:numId="29" w16cid:durableId="1120296820">
    <w:abstractNumId w:val="8"/>
  </w:num>
  <w:num w:numId="30" w16cid:durableId="834032013">
    <w:abstractNumId w:val="24"/>
  </w:num>
  <w:num w:numId="31" w16cid:durableId="88047095">
    <w:abstractNumId w:val="0"/>
  </w:num>
  <w:num w:numId="32" w16cid:durableId="506411821">
    <w:abstractNumId w:val="25"/>
  </w:num>
  <w:num w:numId="33" w16cid:durableId="1928885144">
    <w:abstractNumId w:val="26"/>
  </w:num>
  <w:num w:numId="34" w16cid:durableId="1634915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A3"/>
    <w:rsid w:val="00240F65"/>
    <w:rsid w:val="00241308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3E0C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610"/>
    <w:rsid w:val="004756E7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34B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5FCF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05F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6FE"/>
    <w:rsid w:val="00687E94"/>
    <w:rsid w:val="00687EF2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1E1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4E58"/>
    <w:rsid w:val="00A755AF"/>
    <w:rsid w:val="00A75623"/>
    <w:rsid w:val="00A75EC8"/>
    <w:rsid w:val="00A7635D"/>
    <w:rsid w:val="00A769DF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D0E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F4F"/>
    <w:rsid w:val="00CB4236"/>
    <w:rsid w:val="00CB47D8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0EA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06F"/>
    <w:rsid w:val="00F221A2"/>
    <w:rsid w:val="00F22353"/>
    <w:rsid w:val="00F23348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3D7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97519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55F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5NUHHDQN7SK2-1476151046-546557</_dlc_DocId>
    <MediaLengthInSeconds xmlns="611109f9-ed58-4498-a270-1fb2086a5321" xsi:nil="true"/>
    <_dlc_DocIdUrl xmlns="f166a696-7b5b-4ccd-9f0c-ffde0cceec81">
      <Url>https://ericsson.sharepoint.com/sites/star/_layouts/15/DocIdRedir.aspx?ID=5NUHHDQN7SK2-1476151046-546557</Url>
      <Description>5NUHHDQN7SK2-1476151046-546557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d8762117-8292-4133-b1c7-eab5c6487cfd"/>
    <ds:schemaRef ds:uri="http://schemas.openxmlformats.org/package/2006/metadata/core-properties"/>
    <ds:schemaRef ds:uri="http://purl.org/dc/elements/1.1/"/>
    <ds:schemaRef ds:uri="http://purl.org/dc/terms/"/>
    <ds:schemaRef ds:uri="f166a696-7b5b-4ccd-9f0c-ffde0cceec81"/>
    <ds:schemaRef ds:uri="http://schemas.microsoft.com/office/2006/documentManagement/types"/>
    <ds:schemaRef ds:uri="http://www.w3.org/XML/1998/namespace"/>
    <ds:schemaRef ds:uri="http://schemas.microsoft.com/sharepoint/v4"/>
    <ds:schemaRef ds:uri="http://schemas.microsoft.com/office/2006/metadata/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FD4C11-F104-4BA8-B446-E5D432E42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3196</TotalTime>
  <Pages>4</Pages>
  <Words>1679</Words>
  <Characters>9573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2406</cp:revision>
  <dcterms:created xsi:type="dcterms:W3CDTF">2020-10-16T18:11:00Z</dcterms:created>
  <dcterms:modified xsi:type="dcterms:W3CDTF">2023-09-28T19:39:00Z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21b77ecf-9957-4907-bd49-58c8c9c1cba5</vt:lpwstr>
  </property>
</Properties>
</file>